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Times New Roman" w:hAnsi="Times New Roman" w:eastAsia="Times New Roman"/>
          <w:b/>
          <w:i w:val="0"/>
          <w:color w:val="000000"/>
          <w:sz w:val="32"/>
        </w:rPr>
        <w:t>Checklist de conformité de la première année d’une société au Luxembourg</w:t>
      </w:r>
    </w:p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Outil de suivi à compléter par le dirigeant. Reportez vos dates clés, attribuez chaque obligation à un responsable et cochez-la une fois accomplie, en conservant la preuve. Les délais indiqués ont été vérifiés le 10 octobre 2026 sur Guichet.lu ; certaines obligations dépendent de votre forme juridique, de votre activité et de votre régime fiscal. Document préparatoire, sans valeur officielle.</w:t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Dates de référence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Date de constitution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Date de l’acte notarié ou, pour une SARL-S, de l’acte sous seing privé.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Date de début d’activité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Date de la première opération commerciale.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Date de clôture du premier exercice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Prévue dans les statuts.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Délai statutaire de libération du capital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12 mois au plus pour une SARL ou une SARL-S, ou délai plus court prévu par les statuts.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Constitution et registres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Dépôt de l’acte et immatriculation au RCS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Dans le mois de la constitution. Responsable, date, numéro RCS obtenu.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Publication au RESA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Vérifier la publication de l’acte après le dépôt.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Déclaration des bénéficiaires effectifs au RBE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Dans le mois. Responsable, date, accusé de dépôt.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Registre des actions nominatives ou liste des associés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Registre tenu au siège pour une SA, liste des associés et des parts à jour pour une SARL ou une SARL-S.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Contrat de domiciliation ou bail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Signé et conservé, si la société est domiciliée ou loue un bureau.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Capital et banque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Compte bancaire de la société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Ouvert au nom de la société. Banque et date.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Libération du capital à la constitution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Apports en nature, prime d’émission et part au-delà de 12 000 € libérés à la constitution.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Libération du capital différé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Apports en numéraire jusqu’au minimum : dates prévues, montants appelés, preuves de virement.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Justificatifs d’origine des fonds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Déclaration et pièces conservées pour chaque apporteur.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4. Autorisation d’établissement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Autorisation obtenue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Numéro et date, ou activité non soumise : préciser.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Activité réellement exercée couverte par l’autorisation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Vérifier la concordance avec l’objet social et le site internet.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Établissement fixe et dirigeant effectif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Bureau au Luxembourg et dirigeant qui assure la gestion effective.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Changements à signaler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Nouveau dirigeant, nouvelle activité, transfert d’adresse : vérifier les démarches de modification.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Usage de l’autorisation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Une autorisation non utilisée pendant deux ans devient caduque.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5. Fiscalité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Inscription à la TVA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Dans les 15 jours du début de l’activité dans la plupart des cas. Numéro LU obtenu, régime (franchise jusqu’à 50 000 € de chiffre d’affaires annuel hors TVA, ou régime normal).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Périodicité des déclarations de TVA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Mensuelle, trimestrielle ou annuelle, selon la notification de l’AED.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Déclarations d’impôts directs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Échéances à confirmer avec le comptable autorisé.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Mentions obligatoires sur les factures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Modèle de facture validé avec le comptable autorisé.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6. Sécurité sociale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Affiliation du dirigeant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Statut du dirigeant (salarié ou indépendant) et affiliation auprès de la CCSS.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Immatriculation comme employeur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Avant la première embauche, auprès de la CCSS.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Déclaration d’entrée des salariés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Pour chaque salarié, selon les délais de la CCSS.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Médecine du travail et assurance accident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À vérifier pour chaque embauche.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7. Comptabilité et comptes annuels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Comptable autorisé désigné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Nom, date de la lettre de mission.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Tenue de la comptabilité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Pièces transmises chaque mois ou chaque trimestre.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Approbation des comptes annuels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Dans les 6 mois de la clôture, par l’assemblée générale.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Dépôt des comptes annuels au RCS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Dans le mois de l’approbation, au plus tard 7 mois après la clôture.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8. Suivi trimestriel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Changement d’associé ou de bénéficiaire effectif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Mise à jour du RBE dans le mois et dépôt au RCS si nécessaire.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Changement de gérant ou d’administrateur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Dépôt au RCS et vérification de l’autorisation d’établissement.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Changement d’adresse du siège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Décision, dépôt au RCS, mise à jour du site internet et des contrats.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Assurances et contrats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Responsabilité civile professionnelle, bail, domiciliation : échéances de renouvellement.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Notes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Conservez pour chaque ligne la preuve de l’accomplissement : accusé de dépôt, attestation, numéro obtenu.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 registre des bénéficiaires effectifs doit être mis à jour dans le mois de tout changement, pas seulement à la création.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Les échéances fiscales et sociales dépendent de votre situation : faites-les confirmer par votre comptable autorisé.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Document préparatoire sans valeur officielle, qui ne remplace pas un avis personnalisé.</w:t>
      </w:r>
    </w:p>
    <w:p>
      <w:pPr>
        <w:spacing w:after="120"/>
      </w:pPr>
      <w:r>
        <w:rPr>
          <w:rFonts w:ascii="Times New Roman" w:hAnsi="Times New Roman" w:eastAsia="Times New Roman"/>
          <w:b w:val="0"/>
          <w:i/>
          <w:color w:val="000000"/>
          <w:sz w:val="18"/>
        </w:rPr>
        <w:t>Document préparatoire fourni par Business Registration SARL-S. Ce n’est ni un formulaire officiel ni un acte juridique. Vérifiez les exigences de votre banque, de votre notaire ou de l’administration concernée.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