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Times New Roman" w:hAnsi="Times New Roman" w:eastAsia="Times New Roman"/>
          <w:b/>
          <w:i w:val="0"/>
          <w:color w:val="000000"/>
          <w:sz w:val="32"/>
        </w:rPr>
        <w:t>Fiche activité : décrire son activité pour l’autorisation, la banque et l’objet social</w:t>
      </w:r>
    </w:p>
    <w:p>
      <w:pPr>
        <w:spacing w:after="120"/>
      </w:pPr>
      <w:r>
        <w:rPr>
          <w:rFonts w:ascii="Times New Roman" w:hAnsi="Times New Roman" w:eastAsia="Times New Roman"/>
          <w:b w:val="0"/>
          <w:i w:val="0"/>
          <w:color w:val="000000"/>
          <w:sz w:val="22"/>
        </w:rPr>
        <w:t>Document préparatoire à remplir par le dirigeant avant la création. Il réunit en un seul endroit la description de l’activité utilisée pour la demande d’autorisation d’établissement, le dossier d’ouverture du compte bancaire et la rédaction de l’objet social par l’avocat, afin que les trois restent cohérents. Ce n’est pas un formulaire officiel.</w:t>
      </w:r>
    </w:p>
    <w:p>
      <w:pPr>
        <w:spacing w:after="80"/>
      </w:pPr>
      <w:r>
        <w:rPr>
          <w:rFonts w:ascii="Times New Roman" w:hAnsi="Times New Roman" w:eastAsia="Times New Roman"/>
          <w:b/>
          <w:i w:val="0"/>
          <w:color w:val="000000"/>
          <w:sz w:val="26"/>
        </w:rPr>
        <w:t>1. Identification du projet</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Dénomination envisagée</w:t>
            </w:r>
          </w:p>
        </w:tc>
        <w:tc>
          <w:tcPr>
            <w:tcW w:type="dxa" w:w="3685"/>
          </w:tcPr>
          <w:p>
            <w:r>
              <w:rPr>
                <w:rFonts w:ascii="Times New Roman" w:hAnsi="Times New Roman" w:eastAsia="Times New Roman"/>
                <w:b w:val="0"/>
                <w:i/>
                <w:color w:val="000000"/>
                <w:sz w:val="20"/>
              </w:rPr>
              <w:t>Nom de la société, ou nom commercial pour une activité en nom propre.</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Forme juridique</w:t>
            </w:r>
          </w:p>
        </w:tc>
        <w:tc>
          <w:tcPr>
            <w:tcW w:type="dxa" w:w="3685"/>
          </w:tcPr>
          <w:p>
            <w:r>
              <w:rPr>
                <w:rFonts w:ascii="Times New Roman" w:hAnsi="Times New Roman" w:eastAsia="Times New Roman"/>
                <w:b w:val="0"/>
                <w:i/>
                <w:color w:val="000000"/>
                <w:sz w:val="20"/>
              </w:rPr>
              <w:t>SARL-S, SARL, SA, indépendant ou autre forme.</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Dirigeant</w:t>
            </w:r>
          </w:p>
        </w:tc>
        <w:tc>
          <w:tcPr>
            <w:tcW w:type="dxa" w:w="3685"/>
          </w:tcPr>
          <w:p>
            <w:r>
              <w:rPr>
                <w:rFonts w:ascii="Times New Roman" w:hAnsi="Times New Roman" w:eastAsia="Times New Roman"/>
                <w:b w:val="0"/>
                <w:i/>
                <w:color w:val="000000"/>
                <w:sz w:val="20"/>
              </w:rPr>
              <w:t>Nom de la personne qui assurera la gestion effective de l’activité.</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Date de démarrage prévue</w:t>
            </w:r>
          </w:p>
        </w:tc>
        <w:tc>
          <w:tcPr>
            <w:tcW w:type="dxa" w:w="3685"/>
          </w:tcPr>
          <w:p>
            <w:r>
              <w:rPr>
                <w:rFonts w:ascii="Times New Roman" w:hAnsi="Times New Roman" w:eastAsia="Times New Roman"/>
                <w:b w:val="0"/>
                <w:i/>
                <w:color w:val="000000"/>
                <w:sz w:val="20"/>
              </w:rPr>
              <w:t>Mois et année.</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2. Activité principale</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Description en une phrase</w:t>
            </w:r>
          </w:p>
        </w:tc>
        <w:tc>
          <w:tcPr>
            <w:tcW w:type="dxa" w:w="3685"/>
          </w:tcPr>
          <w:p>
            <w:r>
              <w:rPr>
                <w:rFonts w:ascii="Times New Roman" w:hAnsi="Times New Roman" w:eastAsia="Times New Roman"/>
                <w:b w:val="0"/>
                <w:i/>
                <w:color w:val="000000"/>
                <w:sz w:val="20"/>
              </w:rPr>
              <w:t>Un verbe, un objet et un client. Exemple : « conception de sites internet pour les commerces de proximité ».</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Description détaillée</w:t>
            </w:r>
          </w:p>
        </w:tc>
        <w:tc>
          <w:tcPr>
            <w:tcW w:type="dxa" w:w="3685"/>
          </w:tcPr>
          <w:p>
            <w:r>
              <w:rPr>
                <w:rFonts w:ascii="Times New Roman" w:hAnsi="Times New Roman" w:eastAsia="Times New Roman"/>
                <w:b w:val="0"/>
                <w:i/>
                <w:color w:val="000000"/>
                <w:sz w:val="20"/>
              </w:rPr>
              <w:t>Cinq à dix lignes qui expliquent concrètement ce que vous faites, sans jargon.</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Produits ou prestations vendus</w:t>
            </w:r>
          </w:p>
        </w:tc>
        <w:tc>
          <w:tcPr>
            <w:tcW w:type="dxa" w:w="3685"/>
          </w:tcPr>
          <w:p>
            <w:r>
              <w:rPr>
                <w:rFonts w:ascii="Times New Roman" w:hAnsi="Times New Roman" w:eastAsia="Times New Roman"/>
                <w:b w:val="0"/>
                <w:i/>
                <w:color w:val="000000"/>
                <w:sz w:val="20"/>
              </w:rPr>
              <w:t>Liste précise, avec la part estimée de chaque élément dans le chiffre d’affaires.</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Secteur</w:t>
            </w:r>
          </w:p>
        </w:tc>
        <w:tc>
          <w:tcPr>
            <w:tcW w:type="dxa" w:w="3685"/>
          </w:tcPr>
          <w:p>
            <w:r>
              <w:rPr>
                <w:rFonts w:ascii="Times New Roman" w:hAnsi="Times New Roman" w:eastAsia="Times New Roman"/>
                <w:b w:val="0"/>
                <w:i/>
                <w:color w:val="000000"/>
                <w:sz w:val="20"/>
              </w:rPr>
              <w:t>Commerce, artisanat, profession libérale, horeca, transport, immobilier, conseil, numérique, autre.</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3. Activités secondaires et développements prévus</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Activités secondaires</w:t>
            </w:r>
          </w:p>
        </w:tc>
        <w:tc>
          <w:tcPr>
            <w:tcW w:type="dxa" w:w="3685"/>
          </w:tcPr>
          <w:p>
            <w:r>
              <w:rPr>
                <w:rFonts w:ascii="Times New Roman" w:hAnsi="Times New Roman" w:eastAsia="Times New Roman"/>
                <w:b w:val="0"/>
                <w:i/>
                <w:color w:val="000000"/>
                <w:sz w:val="20"/>
              </w:rPr>
              <w:t>Toute autre activité exercée, même accessoire : vente de produits, formation, location, intermédiation.</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Développements à trois ans</w:t>
            </w:r>
          </w:p>
        </w:tc>
        <w:tc>
          <w:tcPr>
            <w:tcW w:type="dxa" w:w="3685"/>
          </w:tcPr>
          <w:p>
            <w:r>
              <w:rPr>
                <w:rFonts w:ascii="Times New Roman" w:hAnsi="Times New Roman" w:eastAsia="Times New Roman"/>
                <w:b w:val="0"/>
                <w:i/>
                <w:color w:val="000000"/>
                <w:sz w:val="20"/>
              </w:rPr>
              <w:t>Nouvelles activités ou nouveaux marchés envisagés, à prendre en compte dans l’objet social.</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Activités exclues</w:t>
            </w:r>
          </w:p>
        </w:tc>
        <w:tc>
          <w:tcPr>
            <w:tcW w:type="dxa" w:w="3685"/>
          </w:tcPr>
          <w:p>
            <w:r>
              <w:rPr>
                <w:rFonts w:ascii="Times New Roman" w:hAnsi="Times New Roman" w:eastAsia="Times New Roman"/>
                <w:b w:val="0"/>
                <w:i/>
                <w:color w:val="000000"/>
                <w:sz w:val="20"/>
              </w:rPr>
              <w:t>Ce que vous ne ferez pas, pour éviter un objet social inutilement large.</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4. Clients et marchés</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Type de clients</w:t>
            </w:r>
          </w:p>
        </w:tc>
        <w:tc>
          <w:tcPr>
            <w:tcW w:type="dxa" w:w="3685"/>
          </w:tcPr>
          <w:p>
            <w:r>
              <w:rPr>
                <w:rFonts w:ascii="Times New Roman" w:hAnsi="Times New Roman" w:eastAsia="Times New Roman"/>
                <w:b w:val="0"/>
                <w:i/>
                <w:color w:val="000000"/>
                <w:sz w:val="20"/>
              </w:rPr>
              <w:t>Particuliers, entreprises, administrations. Indiquer la proportion.</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Zone géographique</w:t>
            </w:r>
          </w:p>
        </w:tc>
        <w:tc>
          <w:tcPr>
            <w:tcW w:type="dxa" w:w="3685"/>
          </w:tcPr>
          <w:p>
            <w:r>
              <w:rPr>
                <w:rFonts w:ascii="Times New Roman" w:hAnsi="Times New Roman" w:eastAsia="Times New Roman"/>
                <w:b w:val="0"/>
                <w:i/>
                <w:color w:val="000000"/>
                <w:sz w:val="20"/>
              </w:rPr>
              <w:t>Luxembourg, Grande Région, Union européenne, hors Union européenne : préciser les pays.</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Canaux de vente</w:t>
            </w:r>
          </w:p>
        </w:tc>
        <w:tc>
          <w:tcPr>
            <w:tcW w:type="dxa" w:w="3685"/>
          </w:tcPr>
          <w:p>
            <w:r>
              <w:rPr>
                <w:rFonts w:ascii="Times New Roman" w:hAnsi="Times New Roman" w:eastAsia="Times New Roman"/>
                <w:b w:val="0"/>
                <w:i/>
                <w:color w:val="000000"/>
                <w:sz w:val="20"/>
              </w:rPr>
              <w:t>Boutique, rendez-vous, site internet, plateforme, prospection directe, sous-traitance.</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Chiffre d’affaires prévisionnel</w:t>
            </w:r>
          </w:p>
        </w:tc>
        <w:tc>
          <w:tcPr>
            <w:tcW w:type="dxa" w:w="3685"/>
          </w:tcPr>
          <w:p>
            <w:r>
              <w:rPr>
                <w:rFonts w:ascii="Times New Roman" w:hAnsi="Times New Roman" w:eastAsia="Times New Roman"/>
                <w:b w:val="0"/>
                <w:i/>
                <w:color w:val="000000"/>
                <w:sz w:val="20"/>
              </w:rPr>
              <w:t>Estimation pour la première et la deuxième année.</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5. Fonctionnement et flux financiers</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Lieu d’exercice</w:t>
            </w:r>
          </w:p>
        </w:tc>
        <w:tc>
          <w:tcPr>
            <w:tcW w:type="dxa" w:w="3685"/>
          </w:tcPr>
          <w:p>
            <w:r>
              <w:rPr>
                <w:rFonts w:ascii="Times New Roman" w:hAnsi="Times New Roman" w:eastAsia="Times New Roman"/>
                <w:b w:val="0"/>
                <w:i/>
                <w:color w:val="000000"/>
                <w:sz w:val="20"/>
              </w:rPr>
              <w:t>Adresse de l’établissement au Luxembourg, type de locaux (bureau, atelier, commerce), activité chez les clients ou sur chantier.</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Salariés prévus</w:t>
            </w:r>
          </w:p>
        </w:tc>
        <w:tc>
          <w:tcPr>
            <w:tcW w:type="dxa" w:w="3685"/>
          </w:tcPr>
          <w:p>
            <w:r>
              <w:rPr>
                <w:rFonts w:ascii="Times New Roman" w:hAnsi="Times New Roman" w:eastAsia="Times New Roman"/>
                <w:b w:val="0"/>
                <w:i/>
                <w:color w:val="000000"/>
                <w:sz w:val="20"/>
              </w:rPr>
              <w:t>Nombre et fonctions la première année.</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Fournisseurs principaux</w:t>
            </w:r>
          </w:p>
        </w:tc>
        <w:tc>
          <w:tcPr>
            <w:tcW w:type="dxa" w:w="3685"/>
          </w:tcPr>
          <w:p>
            <w:r>
              <w:rPr>
                <w:rFonts w:ascii="Times New Roman" w:hAnsi="Times New Roman" w:eastAsia="Times New Roman"/>
                <w:b w:val="0"/>
                <w:i/>
                <w:color w:val="000000"/>
                <w:sz w:val="20"/>
              </w:rPr>
              <w:t>Type de fournisseurs et pays.</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Moyens de paiement</w:t>
            </w:r>
          </w:p>
        </w:tc>
        <w:tc>
          <w:tcPr>
            <w:tcW w:type="dxa" w:w="3685"/>
          </w:tcPr>
          <w:p>
            <w:r>
              <w:rPr>
                <w:rFonts w:ascii="Times New Roman" w:hAnsi="Times New Roman" w:eastAsia="Times New Roman"/>
                <w:b w:val="0"/>
                <w:i/>
                <w:color w:val="000000"/>
                <w:sz w:val="20"/>
              </w:rPr>
              <w:t>Virement, carte, espèces, plateformes de paiement. Les espèces doivent être signalées.</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Montants types</w:t>
            </w:r>
          </w:p>
        </w:tc>
        <w:tc>
          <w:tcPr>
            <w:tcW w:type="dxa" w:w="3685"/>
          </w:tcPr>
          <w:p>
            <w:r>
              <w:rPr>
                <w:rFonts w:ascii="Times New Roman" w:hAnsi="Times New Roman" w:eastAsia="Times New Roman"/>
                <w:b w:val="0"/>
                <w:i/>
                <w:color w:val="000000"/>
                <w:sz w:val="20"/>
              </w:rPr>
              <w:t>Montant moyen d’une vente ou d’une facture, et volume mensuel attendu sur le compte.</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Flux internationaux</w:t>
            </w:r>
          </w:p>
        </w:tc>
        <w:tc>
          <w:tcPr>
            <w:tcW w:type="dxa" w:w="3685"/>
          </w:tcPr>
          <w:p>
            <w:r>
              <w:rPr>
                <w:rFonts w:ascii="Times New Roman" w:hAnsi="Times New Roman" w:eastAsia="Times New Roman"/>
                <w:b w:val="0"/>
                <w:i/>
                <w:color w:val="000000"/>
                <w:sz w:val="20"/>
              </w:rPr>
              <w:t>Paiements reçus de l’étranger ou envoyés à l’étranger : pays et nature.</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6. Qualification et autorisations</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Diplômes du dirigeant</w:t>
            </w:r>
          </w:p>
        </w:tc>
        <w:tc>
          <w:tcPr>
            <w:tcW w:type="dxa" w:w="3685"/>
          </w:tcPr>
          <w:p>
            <w:r>
              <w:rPr>
                <w:rFonts w:ascii="Times New Roman" w:hAnsi="Times New Roman" w:eastAsia="Times New Roman"/>
                <w:b w:val="0"/>
                <w:i/>
                <w:color w:val="000000"/>
                <w:sz w:val="20"/>
              </w:rPr>
              <w:t>Diplômes en lien avec l’activité, avec pays et année.</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Expérience professionnelle</w:t>
            </w:r>
          </w:p>
        </w:tc>
        <w:tc>
          <w:tcPr>
            <w:tcW w:type="dxa" w:w="3685"/>
          </w:tcPr>
          <w:p>
            <w:r>
              <w:rPr>
                <w:rFonts w:ascii="Times New Roman" w:hAnsi="Times New Roman" w:eastAsia="Times New Roman"/>
                <w:b w:val="0"/>
                <w:i/>
                <w:color w:val="000000"/>
                <w:sz w:val="20"/>
              </w:rPr>
              <w:t>Postes occupés et durée dans le même domaine, attestations disponibles.</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Autorisation d’établissement visée</w:t>
            </w:r>
          </w:p>
        </w:tc>
        <w:tc>
          <w:tcPr>
            <w:tcW w:type="dxa" w:w="3685"/>
          </w:tcPr>
          <w:p>
            <w:r>
              <w:rPr>
                <w:rFonts w:ascii="Times New Roman" w:hAnsi="Times New Roman" w:eastAsia="Times New Roman"/>
                <w:b w:val="0"/>
                <w:i/>
                <w:color w:val="000000"/>
                <w:sz w:val="20"/>
              </w:rPr>
              <w:t>Type d’autorisation identifié, ou à déterminer.</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Agréments ou autorisations spécifiques</w:t>
            </w:r>
          </w:p>
        </w:tc>
        <w:tc>
          <w:tcPr>
            <w:tcW w:type="dxa" w:w="3685"/>
          </w:tcPr>
          <w:p>
            <w:r>
              <w:rPr>
                <w:rFonts w:ascii="Times New Roman" w:hAnsi="Times New Roman" w:eastAsia="Times New Roman"/>
                <w:b w:val="0"/>
                <w:i/>
                <w:color w:val="000000"/>
                <w:sz w:val="20"/>
              </w:rPr>
              <w:t>Activité financière surveillée par la CSSF, profession réglementée par un ordre, licence sectorielle : préciser ou indiquer « aucune ».</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7. Contrôle de cohérence</w:t>
      </w:r>
    </w:p>
    <w:tbl>
      <w:tblPr>
        <w:tblStyle w:val="TableGrid"/>
        <w:tblW w:type="auto" w:w="0"/>
        <w:tblLook w:firstColumn="1" w:firstRow="1" w:lastColumn="0" w:lastRow="0" w:noHBand="0" w:noVBand="1" w:val="04A0"/>
      </w:tblPr>
      <w:tblGrid>
        <w:gridCol w:w="3324"/>
        <w:gridCol w:w="3324"/>
        <w:gridCol w:w="3324"/>
      </w:tblGrid>
      <w:tr>
        <w:tc>
          <w:tcPr>
            <w:tcW w:type="dxa" w:w="2835"/>
            <w:shd w:val="clear" w:color="auto" w:fill="FFFFFF"/>
          </w:tcPr>
          <w:p>
            <w:r/>
            <w:r>
              <w:rPr>
                <w:rFonts w:ascii="Times New Roman" w:hAnsi="Times New Roman" w:eastAsia="Times New Roman"/>
                <w:b/>
                <w:i w:val="0"/>
                <w:color w:val="000000"/>
                <w:sz w:val="22"/>
              </w:rPr>
              <w:t>Champ</w:t>
            </w:r>
          </w:p>
        </w:tc>
        <w:tc>
          <w:tcPr>
            <w:tcW w:type="dxa" w:w="3685"/>
            <w:shd w:val="clear" w:color="auto" w:fill="FFFFFF"/>
          </w:tcPr>
          <w:p>
            <w:r/>
            <w:r>
              <w:rPr>
                <w:rFonts w:ascii="Times New Roman" w:hAnsi="Times New Roman" w:eastAsia="Times New Roman"/>
                <w:b/>
                <w:i w:val="0"/>
                <w:color w:val="000000"/>
                <w:sz w:val="22"/>
              </w:rPr>
              <w:t>Indication</w:t>
            </w:r>
          </w:p>
        </w:tc>
        <w:tc>
          <w:tcPr>
            <w:tcW w:type="dxa" w:w="3118"/>
            <w:shd w:val="clear" w:color="auto" w:fill="FFFFFF"/>
          </w:tcPr>
          <w:p>
            <w:r/>
            <w:r>
              <w:rPr>
                <w:rFonts w:ascii="Times New Roman" w:hAnsi="Times New Roman" w:eastAsia="Times New Roman"/>
                <w:b/>
                <w:i w:val="0"/>
                <w:color w:val="000000"/>
                <w:sz w:val="22"/>
              </w:rPr>
              <w:t>Réponse</w:t>
            </w:r>
          </w:p>
        </w:tc>
      </w:tr>
      <w:tr>
        <w:tc>
          <w:tcPr>
            <w:tcW w:type="dxa" w:w="2835"/>
          </w:tcPr>
          <w:p>
            <w:r>
              <w:rPr>
                <w:rFonts w:ascii="Times New Roman" w:hAnsi="Times New Roman" w:eastAsia="Times New Roman"/>
                <w:b/>
                <w:i w:val="0"/>
                <w:color w:val="000000"/>
                <w:sz w:val="22"/>
              </w:rPr>
              <w:t>Demande d’autorisation</w:t>
            </w:r>
          </w:p>
        </w:tc>
        <w:tc>
          <w:tcPr>
            <w:tcW w:type="dxa" w:w="3685"/>
          </w:tcPr>
          <w:p>
            <w:r>
              <w:rPr>
                <w:rFonts w:ascii="Times New Roman" w:hAnsi="Times New Roman" w:eastAsia="Times New Roman"/>
                <w:b w:val="0"/>
                <w:i/>
                <w:color w:val="000000"/>
                <w:sz w:val="20"/>
              </w:rPr>
              <w:t>La description reprise dans la demande correspond-elle à la section 2 ?</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Dossier bancaire</w:t>
            </w:r>
          </w:p>
        </w:tc>
        <w:tc>
          <w:tcPr>
            <w:tcW w:type="dxa" w:w="3685"/>
          </w:tcPr>
          <w:p>
            <w:r>
              <w:rPr>
                <w:rFonts w:ascii="Times New Roman" w:hAnsi="Times New Roman" w:eastAsia="Times New Roman"/>
                <w:b w:val="0"/>
                <w:i/>
                <w:color w:val="000000"/>
                <w:sz w:val="20"/>
              </w:rPr>
              <w:t>Les clients, pays, montants et moyens de paiement correspondent-ils aux sections 4 et 5 ?</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Objet social</w:t>
            </w:r>
          </w:p>
        </w:tc>
        <w:tc>
          <w:tcPr>
            <w:tcW w:type="dxa" w:w="3685"/>
          </w:tcPr>
          <w:p>
            <w:r>
              <w:rPr>
                <w:rFonts w:ascii="Times New Roman" w:hAnsi="Times New Roman" w:eastAsia="Times New Roman"/>
                <w:b w:val="0"/>
                <w:i/>
                <w:color w:val="000000"/>
                <w:sz w:val="20"/>
              </w:rPr>
              <w:t>L’objet rédigé par l’avocat couvre-t-il l’activité principale, les activités secondaires et les développements prévus ?</w:t>
            </w:r>
          </w:p>
        </w:tc>
        <w:tc>
          <w:tcPr>
            <w:tcW w:type="dxa" w:w="3118"/>
          </w:tcPr>
          <w:p>
            <w:r>
              <w:rPr>
                <w:rFonts w:ascii="Times New Roman" w:hAnsi="Times New Roman" w:eastAsia="Times New Roman"/>
                <w:b w:val="0"/>
                <w:i w:val="0"/>
                <w:color w:val="000000"/>
                <w:sz w:val="22"/>
              </w:rPr>
            </w:r>
          </w:p>
        </w:tc>
      </w:tr>
      <w:tr>
        <w:tc>
          <w:tcPr>
            <w:tcW w:type="dxa" w:w="2835"/>
          </w:tcPr>
          <w:p>
            <w:r>
              <w:rPr>
                <w:rFonts w:ascii="Times New Roman" w:hAnsi="Times New Roman" w:eastAsia="Times New Roman"/>
                <w:b/>
                <w:i w:val="0"/>
                <w:color w:val="000000"/>
                <w:sz w:val="22"/>
              </w:rPr>
              <w:t>Site internet et documents commerciaux</w:t>
            </w:r>
          </w:p>
        </w:tc>
        <w:tc>
          <w:tcPr>
            <w:tcW w:type="dxa" w:w="3685"/>
          </w:tcPr>
          <w:p>
            <w:r>
              <w:rPr>
                <w:rFonts w:ascii="Times New Roman" w:hAnsi="Times New Roman" w:eastAsia="Times New Roman"/>
                <w:b w:val="0"/>
                <w:i/>
                <w:color w:val="000000"/>
                <w:sz w:val="20"/>
              </w:rPr>
              <w:t>Décrivent-ils la même activité ?</w:t>
            </w:r>
          </w:p>
        </w:tc>
        <w:tc>
          <w:tcPr>
            <w:tcW w:type="dxa" w:w="3118"/>
          </w:tcPr>
          <w:p>
            <w:r>
              <w:rPr>
                <w:rFonts w:ascii="Times New Roman" w:hAnsi="Times New Roman" w:eastAsia="Times New Roman"/>
                <w:b w:val="0"/>
                <w:i w:val="0"/>
                <w:color w:val="000000"/>
                <w:sz w:val="22"/>
              </w:rPr>
            </w:r>
          </w:p>
        </w:tc>
      </w:tr>
    </w:tbl>
    <w:p>
      <w:pPr>
        <w:spacing w:after="120"/>
      </w:pPr>
      <w:r>
        <w:rPr>
          <w:rFonts w:ascii="Times New Roman" w:hAnsi="Times New Roman" w:eastAsia="Times New Roman"/>
          <w:b w:val="0"/>
          <w:i w:val="0"/>
          <w:color w:val="000000"/>
          <w:sz w:val="12"/>
        </w:rPr>
      </w:r>
    </w:p>
    <w:p>
      <w:pPr>
        <w:spacing w:after="80"/>
      </w:pPr>
      <w:r>
        <w:rPr>
          <w:rFonts w:ascii="Times New Roman" w:hAnsi="Times New Roman" w:eastAsia="Times New Roman"/>
          <w:b/>
          <w:i w:val="0"/>
          <w:color w:val="000000"/>
          <w:sz w:val="26"/>
        </w:rPr>
        <w:t>Notes</w:t>
      </w:r>
    </w:p>
    <w:p>
      <w:pPr>
        <w:pStyle w:val="ListBullet"/>
      </w:pPr>
      <w:r>
        <w:rPr>
          <w:rFonts w:ascii="Times New Roman" w:hAnsi="Times New Roman" w:eastAsia="Times New Roman"/>
          <w:b w:val="0"/>
          <w:i w:val="0"/>
          <w:color w:val="000000"/>
          <w:sz w:val="20"/>
        </w:rPr>
        <w:t>Soyez concret : une description vague entraîne des demandes de complément du ministère de l’Économie et de la banque.</w:t>
      </w:r>
    </w:p>
    <w:p>
      <w:pPr>
        <w:pStyle w:val="ListBullet"/>
      </w:pPr>
      <w:r>
        <w:rPr>
          <w:rFonts w:ascii="Times New Roman" w:hAnsi="Times New Roman" w:eastAsia="Times New Roman"/>
          <w:b w:val="0"/>
          <w:i w:val="0"/>
          <w:color w:val="000000"/>
          <w:sz w:val="20"/>
        </w:rPr>
        <w:t>Chaque activité réellement exercée doit être couverte par l’autorisation d’établissement correspondante.</w:t>
      </w:r>
    </w:p>
    <w:p>
      <w:pPr>
        <w:pStyle w:val="ListBullet"/>
      </w:pPr>
      <w:r>
        <w:rPr>
          <w:rFonts w:ascii="Times New Roman" w:hAnsi="Times New Roman" w:eastAsia="Times New Roman"/>
          <w:b w:val="0"/>
          <w:i w:val="0"/>
          <w:color w:val="000000"/>
          <w:sz w:val="20"/>
        </w:rPr>
        <w:t>Une activité financière réglementée relève d’un agrément de la CSSF, distinct de l’autorisation d’établissement.</w:t>
      </w:r>
    </w:p>
    <w:p>
      <w:pPr>
        <w:pStyle w:val="ListBullet"/>
      </w:pPr>
      <w:r>
        <w:rPr>
          <w:rFonts w:ascii="Times New Roman" w:hAnsi="Times New Roman" w:eastAsia="Times New Roman"/>
          <w:b w:val="0"/>
          <w:i w:val="0"/>
          <w:color w:val="000000"/>
          <w:sz w:val="20"/>
        </w:rPr>
        <w:t>Document préparatoire sans valeur officielle. La demande d’autorisation se dépose sur MyGuichet.lu et l’objet social est rédigé par l’avocat.</w:t>
      </w:r>
    </w:p>
    <w:p>
      <w:pPr>
        <w:spacing w:after="120"/>
      </w:pPr>
      <w:r>
        <w:rPr>
          <w:rFonts w:ascii="Times New Roman" w:hAnsi="Times New Roman" w:eastAsia="Times New Roman"/>
          <w:b w:val="0"/>
          <w:i/>
          <w:color w:val="000000"/>
          <w:sz w:val="18"/>
        </w:rPr>
        <w:t>Document préparatoire fourni par Business Registration SARL-S. Ce n’est ni un formulaire officiel ni un acte juridique. Vérifiez les exigences de votre banque, de votre notaire ou de l’administration concernée.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